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14:paraId="76ED1302"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2294A52" w14:textId="77777777" w:rsidR="00725C6A" w:rsidRPr="00725C6A" w:rsidRDefault="00725C6A" w:rsidP="001D77D1">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4514F55E" w14:textId="3776CA39" w:rsidR="00725C6A" w:rsidRPr="00725C6A" w:rsidRDefault="00AA03B8"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Consumer Sales Executive</w:t>
            </w:r>
          </w:p>
          <w:p w14:paraId="5015FF39" w14:textId="77777777" w:rsidR="00725C6A" w:rsidRPr="00725C6A" w:rsidRDefault="00725C6A" w:rsidP="00725C6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51CACD49"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7FFF23BE"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14:paraId="7A0B1F24" w14:textId="1EF8DD2A" w:rsidR="00C263B4" w:rsidRPr="00725C6A" w:rsidRDefault="00AA03B8"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Consumer Sales</w:t>
            </w:r>
          </w:p>
          <w:p w14:paraId="17B6904E" w14:textId="77777777" w:rsidR="00C263B4" w:rsidRPr="00725C6A"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263B4" w:rsidRPr="00D107AB" w14:paraId="24CAB4D7"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C325843"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6270EE03" w14:textId="6338AD85" w:rsidR="00C263B4" w:rsidRPr="00725C6A" w:rsidRDefault="001D7562"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Marketing</w:t>
            </w:r>
          </w:p>
          <w:p w14:paraId="2167C3AE" w14:textId="77777777" w:rsidR="00C263B4" w:rsidRPr="00725C6A"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14:paraId="3D54D068"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0F8872A7" w14:textId="77777777" w:rsidR="00C263B4" w:rsidRPr="00080E77" w:rsidRDefault="00C263B4" w:rsidP="00C263B4">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00A31C48" w14:textId="5B8954E3" w:rsidR="00C263B4" w:rsidRPr="00C71155" w:rsidRDefault="00AA03B8"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Senior Manager- Consumer Sales and Commercial Operations</w:t>
            </w:r>
          </w:p>
          <w:p w14:paraId="0C809EB2" w14:textId="77777777" w:rsidR="00C263B4" w:rsidRPr="00080E77" w:rsidRDefault="00C263B4" w:rsidP="00C263B4">
            <w:pPr>
              <w:tabs>
                <w:tab w:val="left" w:pos="1906"/>
              </w:tabs>
              <w:suppressAutoHyphens/>
              <w:spacing w:before="60"/>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p>
        </w:tc>
      </w:tr>
      <w:tr w:rsidR="00C263B4" w:rsidRPr="00D107AB" w14:paraId="0D2FC18B"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9CBFE88" w14:textId="77777777" w:rsidR="00C263B4"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p w14:paraId="21F09A59" w14:textId="77777777" w:rsidR="00C263B4" w:rsidRPr="00080E77" w:rsidRDefault="00C263B4" w:rsidP="00C263B4">
            <w:pPr>
              <w:tabs>
                <w:tab w:val="left" w:pos="2977"/>
                <w:tab w:val="left" w:pos="9180"/>
              </w:tabs>
              <w:suppressAutoHyphens/>
              <w:rPr>
                <w:rFonts w:ascii="Century Gothic" w:hAnsi="Century Gothic"/>
                <w:b/>
                <w:spacing w:val="-3"/>
                <w:sz w:val="20"/>
              </w:rPr>
            </w:pPr>
          </w:p>
        </w:tc>
        <w:tc>
          <w:tcPr>
            <w:tcW w:w="5840" w:type="dxa"/>
            <w:tcBorders>
              <w:top w:val="none" w:sz="0" w:space="0" w:color="auto"/>
              <w:bottom w:val="none" w:sz="0" w:space="0" w:color="auto"/>
              <w:right w:val="none" w:sz="0" w:space="0" w:color="auto"/>
            </w:tcBorders>
          </w:tcPr>
          <w:p w14:paraId="265E1463" w14:textId="69BF76DA" w:rsidR="00C263B4" w:rsidRDefault="00B14F42" w:rsidP="00AA03B8">
            <w:pPr>
              <w:suppressAutoHyphens/>
              <w:cnfStyle w:val="000000100000" w:firstRow="0" w:lastRow="0" w:firstColumn="0" w:lastColumn="0" w:oddVBand="0" w:evenVBand="0" w:oddHBand="1" w:evenHBand="0" w:firstRowFirstColumn="0" w:firstRowLastColumn="0" w:lastRowFirstColumn="0" w:lastRowLastColumn="0"/>
              <w:rPr>
                <w:sz w:val="20"/>
                <w:szCs w:val="20"/>
              </w:rPr>
            </w:pPr>
            <w:r>
              <w:rPr>
                <w:rFonts w:ascii="Century Gothic" w:hAnsi="Century Gothic"/>
                <w:sz w:val="20"/>
              </w:rPr>
              <w:t>Full time</w:t>
            </w:r>
            <w:bookmarkStart w:id="0" w:name="_GoBack"/>
            <w:bookmarkEnd w:id="0"/>
          </w:p>
          <w:p w14:paraId="0240DB75" w14:textId="77777777" w:rsidR="00C263B4"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14:paraId="7C20A126" w14:textId="77777777" w:rsidR="00725C6A" w:rsidRPr="00D107AB" w:rsidRDefault="00725C6A" w:rsidP="00725C6A">
      <w:pPr>
        <w:pStyle w:val="Header"/>
        <w:tabs>
          <w:tab w:val="left" w:pos="9180"/>
        </w:tabs>
        <w:suppressAutoHyphens/>
        <w:rPr>
          <w:rFonts w:ascii="Century Gothic" w:hAnsi="Century Gothic"/>
          <w:spacing w:val="-3"/>
        </w:rPr>
      </w:pPr>
    </w:p>
    <w:p w14:paraId="0AD333B9"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6E3D0FAA" w14:textId="77777777" w:rsidTr="004E0914">
        <w:tc>
          <w:tcPr>
            <w:tcW w:w="3397" w:type="dxa"/>
            <w:shd w:val="clear" w:color="auto" w:fill="D9D9D9" w:themeFill="background1" w:themeFillShade="D9"/>
          </w:tcPr>
          <w:p w14:paraId="6373ED63"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7166DD1B" w14:textId="77777777" w:rsidR="008A14F7" w:rsidRPr="001D7562" w:rsidRDefault="008A14F7" w:rsidP="008A14F7">
            <w:pPr>
              <w:suppressAutoHyphens/>
              <w:spacing w:before="60"/>
              <w:jc w:val="both"/>
              <w:rPr>
                <w:rFonts w:ascii="Century Gothic" w:hAnsi="Century Gothic"/>
                <w:b/>
                <w:spacing w:val="-2"/>
                <w:sz w:val="20"/>
                <w:u w:val="single"/>
              </w:rPr>
            </w:pPr>
            <w:r w:rsidRPr="001D7562">
              <w:rPr>
                <w:rFonts w:ascii="Century Gothic" w:hAnsi="Century Gothic"/>
                <w:b/>
                <w:spacing w:val="-2"/>
                <w:sz w:val="20"/>
                <w:u w:val="single"/>
              </w:rPr>
              <w:t>Internal</w:t>
            </w:r>
          </w:p>
          <w:p w14:paraId="123D5577" w14:textId="77777777" w:rsidR="001D7562" w:rsidRPr="001D7562" w:rsidRDefault="001D7562" w:rsidP="001D7562">
            <w:pPr>
              <w:suppressAutoHyphens/>
              <w:jc w:val="both"/>
              <w:rPr>
                <w:rFonts w:ascii="Century Gothic" w:hAnsi="Century Gothic"/>
                <w:sz w:val="20"/>
              </w:rPr>
            </w:pPr>
            <w:r w:rsidRPr="001D7562">
              <w:rPr>
                <w:rFonts w:ascii="Century Gothic" w:hAnsi="Century Gothic"/>
                <w:sz w:val="20"/>
              </w:rPr>
              <w:t>Marketing Team</w:t>
            </w:r>
          </w:p>
          <w:p w14:paraId="01A5DE73" w14:textId="0617D702" w:rsidR="001D7562" w:rsidRPr="001D7562" w:rsidRDefault="001D7562" w:rsidP="001D7562">
            <w:pPr>
              <w:suppressAutoHyphens/>
              <w:jc w:val="both"/>
              <w:rPr>
                <w:rFonts w:ascii="Century Gothic" w:hAnsi="Century Gothic"/>
                <w:sz w:val="20"/>
              </w:rPr>
            </w:pPr>
            <w:r w:rsidRPr="001D7562">
              <w:rPr>
                <w:rFonts w:ascii="Century Gothic" w:hAnsi="Century Gothic"/>
                <w:sz w:val="20"/>
              </w:rPr>
              <w:t>Sales and Commercial Team</w:t>
            </w:r>
          </w:p>
          <w:p w14:paraId="535387C4" w14:textId="77777777" w:rsidR="001D7562" w:rsidRPr="001D7562" w:rsidRDefault="001D7562" w:rsidP="001D7562">
            <w:pPr>
              <w:suppressAutoHyphens/>
              <w:jc w:val="both"/>
              <w:rPr>
                <w:rFonts w:ascii="Century Gothic" w:hAnsi="Century Gothic"/>
                <w:sz w:val="20"/>
              </w:rPr>
            </w:pPr>
            <w:r w:rsidRPr="001D7562">
              <w:rPr>
                <w:rFonts w:ascii="Century Gothic" w:hAnsi="Century Gothic"/>
                <w:sz w:val="20"/>
              </w:rPr>
              <w:t xml:space="preserve">Operations </w:t>
            </w:r>
          </w:p>
          <w:p w14:paraId="468C4791" w14:textId="451EE7B1" w:rsidR="001D7562" w:rsidRPr="001D7562" w:rsidRDefault="00A47046" w:rsidP="001D7562">
            <w:pPr>
              <w:suppressAutoHyphens/>
              <w:jc w:val="both"/>
              <w:rPr>
                <w:rFonts w:ascii="Century Gothic" w:hAnsi="Century Gothic"/>
                <w:sz w:val="20"/>
              </w:rPr>
            </w:pPr>
            <w:r>
              <w:rPr>
                <w:rFonts w:ascii="Century Gothic" w:hAnsi="Century Gothic"/>
                <w:sz w:val="20"/>
              </w:rPr>
              <w:t>Infrastructure</w:t>
            </w:r>
          </w:p>
          <w:p w14:paraId="0EA2510F" w14:textId="77777777" w:rsidR="001D7562" w:rsidRPr="001D7562" w:rsidRDefault="001D7562" w:rsidP="001D7562">
            <w:pPr>
              <w:suppressAutoHyphens/>
              <w:jc w:val="both"/>
              <w:rPr>
                <w:rFonts w:ascii="Century Gothic" w:hAnsi="Century Gothic"/>
                <w:sz w:val="20"/>
              </w:rPr>
            </w:pPr>
            <w:r w:rsidRPr="001D7562">
              <w:rPr>
                <w:rFonts w:ascii="Century Gothic" w:hAnsi="Century Gothic"/>
                <w:sz w:val="20"/>
              </w:rPr>
              <w:t>Legal Department</w:t>
            </w:r>
          </w:p>
          <w:p w14:paraId="040C5597" w14:textId="77777777" w:rsidR="00C23C54" w:rsidRPr="001D7562" w:rsidRDefault="008A14F7" w:rsidP="008A14F7">
            <w:pPr>
              <w:suppressAutoHyphens/>
              <w:rPr>
                <w:rFonts w:ascii="Century Gothic" w:hAnsi="Century Gothic"/>
                <w:spacing w:val="-3"/>
                <w:sz w:val="20"/>
              </w:rPr>
            </w:pPr>
            <w:r w:rsidRPr="001D7562">
              <w:rPr>
                <w:rFonts w:ascii="Century Gothic" w:hAnsi="Century Gothic"/>
                <w:spacing w:val="-3"/>
                <w:sz w:val="20"/>
              </w:rPr>
              <w:t>Other internal stakeholders as relevant and appropriate</w:t>
            </w:r>
          </w:p>
          <w:p w14:paraId="683C2A9D" w14:textId="77777777" w:rsidR="008A14F7" w:rsidRPr="001D7562" w:rsidRDefault="008A14F7" w:rsidP="008A14F7">
            <w:pPr>
              <w:suppressAutoHyphens/>
              <w:rPr>
                <w:rFonts w:ascii="Century Gothic" w:hAnsi="Century Gothic"/>
                <w:spacing w:val="-3"/>
                <w:sz w:val="20"/>
              </w:rPr>
            </w:pPr>
          </w:p>
          <w:p w14:paraId="673BC20B" w14:textId="77777777" w:rsidR="008A14F7" w:rsidRPr="001D7562" w:rsidRDefault="008A14F7" w:rsidP="008A14F7">
            <w:pPr>
              <w:suppressAutoHyphens/>
              <w:spacing w:before="60"/>
              <w:jc w:val="both"/>
              <w:rPr>
                <w:rFonts w:ascii="Century Gothic" w:hAnsi="Century Gothic"/>
                <w:b/>
                <w:spacing w:val="-2"/>
                <w:sz w:val="20"/>
                <w:u w:val="single"/>
              </w:rPr>
            </w:pPr>
            <w:r w:rsidRPr="001D7562">
              <w:rPr>
                <w:rFonts w:ascii="Century Gothic" w:hAnsi="Century Gothic"/>
                <w:b/>
                <w:spacing w:val="-2"/>
                <w:sz w:val="20"/>
                <w:u w:val="single"/>
              </w:rPr>
              <w:t>External</w:t>
            </w:r>
          </w:p>
          <w:p w14:paraId="7A90073E" w14:textId="77777777" w:rsidR="001D7562" w:rsidRPr="006E576B" w:rsidRDefault="001D7562" w:rsidP="001D7562">
            <w:pPr>
              <w:suppressAutoHyphens/>
              <w:jc w:val="both"/>
              <w:rPr>
                <w:rFonts w:ascii="Century Gothic" w:hAnsi="Century Gothic"/>
                <w:sz w:val="20"/>
              </w:rPr>
            </w:pPr>
            <w:r w:rsidRPr="006E576B">
              <w:rPr>
                <w:rFonts w:ascii="Century Gothic" w:hAnsi="Century Gothic"/>
                <w:sz w:val="20"/>
              </w:rPr>
              <w:t xml:space="preserve">Ticketmaster </w:t>
            </w:r>
          </w:p>
          <w:p w14:paraId="0C38BE68" w14:textId="77777777" w:rsidR="001D7562" w:rsidRPr="006E576B" w:rsidRDefault="001D7562" w:rsidP="001D7562">
            <w:pPr>
              <w:suppressAutoHyphens/>
              <w:jc w:val="both"/>
              <w:rPr>
                <w:rFonts w:ascii="Century Gothic" w:hAnsi="Century Gothic"/>
                <w:sz w:val="20"/>
              </w:rPr>
            </w:pPr>
            <w:r w:rsidRPr="006E576B">
              <w:rPr>
                <w:rFonts w:ascii="Century Gothic" w:hAnsi="Century Gothic"/>
                <w:sz w:val="20"/>
              </w:rPr>
              <w:t>Official Licensees and Suppliers, as appropriate</w:t>
            </w:r>
          </w:p>
          <w:p w14:paraId="77ED40F2" w14:textId="77777777" w:rsidR="001D7562" w:rsidRPr="006E576B" w:rsidRDefault="001D7562" w:rsidP="001D7562">
            <w:pPr>
              <w:suppressAutoHyphens/>
              <w:jc w:val="both"/>
              <w:rPr>
                <w:rFonts w:ascii="Century Gothic" w:hAnsi="Century Gothic"/>
                <w:sz w:val="20"/>
              </w:rPr>
            </w:pPr>
            <w:r w:rsidRPr="006E576B">
              <w:rPr>
                <w:rFonts w:ascii="Century Gothic" w:hAnsi="Century Gothic"/>
                <w:sz w:val="20"/>
              </w:rPr>
              <w:t>Retailers</w:t>
            </w:r>
          </w:p>
          <w:p w14:paraId="5BD29D03" w14:textId="77777777" w:rsidR="008A14F7" w:rsidRPr="001D7562" w:rsidRDefault="008A14F7" w:rsidP="008A14F7">
            <w:pPr>
              <w:suppressAutoHyphens/>
              <w:rPr>
                <w:rFonts w:ascii="Century Gothic" w:hAnsi="Century Gothic"/>
                <w:spacing w:val="-3"/>
                <w:sz w:val="20"/>
              </w:rPr>
            </w:pPr>
            <w:r w:rsidRPr="001D7562">
              <w:rPr>
                <w:rFonts w:ascii="Century Gothic" w:hAnsi="Century Gothic"/>
                <w:spacing w:val="-3"/>
                <w:sz w:val="20"/>
              </w:rPr>
              <w:t>Key suppliers and commercial partners</w:t>
            </w:r>
          </w:p>
          <w:p w14:paraId="39DE5C26" w14:textId="77777777" w:rsidR="00C23C54" w:rsidRPr="001D7562" w:rsidRDefault="008A14F7" w:rsidP="008A14F7">
            <w:pPr>
              <w:suppressAutoHyphens/>
              <w:rPr>
                <w:sz w:val="20"/>
              </w:rPr>
            </w:pPr>
            <w:r w:rsidRPr="001D7562">
              <w:rPr>
                <w:rFonts w:ascii="Century Gothic" w:hAnsi="Century Gothic"/>
                <w:spacing w:val="-3"/>
                <w:sz w:val="20"/>
              </w:rPr>
              <w:t>Other stakeholders as relevant and appropriate</w:t>
            </w:r>
          </w:p>
          <w:p w14:paraId="2281F267" w14:textId="77777777" w:rsidR="008A14F7" w:rsidRPr="001D7562" w:rsidRDefault="008A14F7" w:rsidP="008A14F7">
            <w:pPr>
              <w:suppressAutoHyphens/>
              <w:spacing w:before="60"/>
              <w:jc w:val="both"/>
              <w:rPr>
                <w:rFonts w:ascii="Century Gothic" w:hAnsi="Century Gothic"/>
                <w:spacing w:val="-2"/>
                <w:sz w:val="20"/>
              </w:rPr>
            </w:pPr>
          </w:p>
        </w:tc>
      </w:tr>
    </w:tbl>
    <w:p w14:paraId="378EDA14"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02CD58D3" w14:textId="77777777" w:rsidTr="004E0914">
        <w:tc>
          <w:tcPr>
            <w:tcW w:w="3397" w:type="dxa"/>
            <w:tcBorders>
              <w:bottom w:val="single" w:sz="4" w:space="0" w:color="auto"/>
            </w:tcBorders>
            <w:shd w:val="clear" w:color="auto" w:fill="D9D9D9" w:themeFill="background1" w:themeFillShade="D9"/>
          </w:tcPr>
          <w:p w14:paraId="7E510BB3"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063ADB73" w14:textId="77777777" w:rsidR="00C263B4" w:rsidRDefault="00C263B4" w:rsidP="00D53DD6">
            <w:pPr>
              <w:tabs>
                <w:tab w:val="left" w:pos="2977"/>
                <w:tab w:val="left" w:pos="9180"/>
              </w:tabs>
              <w:suppressAutoHyphens/>
              <w:rPr>
                <w:rFonts w:ascii="Century Gothic" w:hAnsi="Century Gothic"/>
                <w:b/>
                <w:spacing w:val="-3"/>
                <w:sz w:val="20"/>
              </w:rPr>
            </w:pPr>
          </w:p>
          <w:p w14:paraId="1B01835A"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2418CC7E"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6669CB79" w14:textId="77777777" w:rsidR="00C263B4" w:rsidRDefault="00C263B4" w:rsidP="00D53DD6">
            <w:pPr>
              <w:suppressAutoHyphens/>
              <w:rPr>
                <w:rFonts w:ascii="Century Gothic" w:hAnsi="Century Gothic"/>
                <w:spacing w:val="-3"/>
                <w:sz w:val="20"/>
              </w:rPr>
            </w:pPr>
          </w:p>
          <w:p w14:paraId="03AFC8A9" w14:textId="77777777" w:rsidR="00D53DD6" w:rsidRDefault="00C263B4" w:rsidP="00D53DD6">
            <w:pPr>
              <w:suppressAutoHyphens/>
              <w:rPr>
                <w:rFonts w:ascii="Century Gothic" w:hAnsi="Century Gothic"/>
                <w:spacing w:val="-3"/>
                <w:sz w:val="20"/>
              </w:rPr>
            </w:pPr>
            <w:r>
              <w:rPr>
                <w:noProof/>
              </w:rPr>
              <w:drawing>
                <wp:inline distT="0" distB="0" distL="0" distR="0" wp14:anchorId="11B59E07" wp14:editId="7F7C3B25">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5BF5FB04" wp14:editId="06ABBCF8">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14:paraId="09B1BDDC" w14:textId="77777777" w:rsidR="00C263B4" w:rsidRPr="00725C6A" w:rsidRDefault="00C263B4" w:rsidP="00D53DD6">
            <w:pPr>
              <w:suppressAutoHyphens/>
              <w:rPr>
                <w:rFonts w:ascii="Century Gothic" w:hAnsi="Century Gothic"/>
                <w:spacing w:val="-3"/>
                <w:sz w:val="20"/>
              </w:rPr>
            </w:pPr>
          </w:p>
        </w:tc>
      </w:tr>
      <w:tr w:rsidR="0005599B" w:rsidRPr="00080E77" w14:paraId="612F5B0A" w14:textId="77777777" w:rsidTr="004E0914">
        <w:tc>
          <w:tcPr>
            <w:tcW w:w="3397" w:type="dxa"/>
            <w:shd w:val="clear" w:color="auto" w:fill="D9D9D9" w:themeFill="background1" w:themeFillShade="D9"/>
          </w:tcPr>
          <w:p w14:paraId="1AD53719"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t>Corporation Objectives</w:t>
            </w:r>
          </w:p>
        </w:tc>
        <w:tc>
          <w:tcPr>
            <w:tcW w:w="5783" w:type="dxa"/>
          </w:tcPr>
          <w:p w14:paraId="00AF8684" w14:textId="77777777" w:rsidR="00EC5BA0" w:rsidRPr="00EC5BA0" w:rsidRDefault="00EC5BA0" w:rsidP="00EC5BA0">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 Austr</w:t>
            </w:r>
            <w:r w:rsidR="00B83FCB">
              <w:rPr>
                <w:rFonts w:ascii="Century Gothic" w:hAnsi="Century Gothic"/>
                <w:spacing w:val="-3"/>
                <w:sz w:val="20"/>
              </w:rPr>
              <w:t xml:space="preserve">alian </w:t>
            </w:r>
            <w:r w:rsidR="00B83FCB">
              <w:rPr>
                <w:rFonts w:ascii="Century Gothic" w:hAnsi="Century Gothic"/>
                <w:spacing w:val="-3"/>
                <w:sz w:val="20"/>
              </w:rPr>
              <w:lastRenderedPageBreak/>
              <w:t>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p w14:paraId="68C8248E" w14:textId="77777777" w:rsidR="00EC5BA0" w:rsidRPr="0039019A" w:rsidRDefault="00EC5BA0" w:rsidP="0039019A">
            <w:pPr>
              <w:suppressAutoHyphens/>
              <w:rPr>
                <w:rFonts w:ascii="Century Gothic" w:hAnsi="Century Gothic"/>
                <w:spacing w:val="-3"/>
                <w:sz w:val="20"/>
              </w:rPr>
            </w:pPr>
          </w:p>
        </w:tc>
      </w:tr>
      <w:tr w:rsidR="00682D3B" w:rsidRPr="00080E77" w14:paraId="0A8009F3" w14:textId="77777777" w:rsidTr="004E0914">
        <w:tc>
          <w:tcPr>
            <w:tcW w:w="3397" w:type="dxa"/>
            <w:shd w:val="clear" w:color="auto" w:fill="D9D9D9" w:themeFill="background1" w:themeFillShade="D9"/>
          </w:tcPr>
          <w:p w14:paraId="70C472CF"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 xml:space="preserve">Governed by </w:t>
            </w:r>
          </w:p>
        </w:tc>
        <w:tc>
          <w:tcPr>
            <w:tcW w:w="5783" w:type="dxa"/>
          </w:tcPr>
          <w:p w14:paraId="3B7569C8" w14:textId="7777777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14:paraId="2267FDCB" w14:textId="77777777" w:rsidR="00682D3B" w:rsidRPr="0038397E" w:rsidRDefault="00682D3B" w:rsidP="00EC5BA0">
            <w:pPr>
              <w:suppressAutoHyphens/>
              <w:rPr>
                <w:rFonts w:ascii="Century Gothic" w:hAnsi="Century Gothic"/>
                <w:spacing w:val="-3"/>
                <w:sz w:val="20"/>
              </w:rPr>
            </w:pPr>
          </w:p>
        </w:tc>
      </w:tr>
      <w:tr w:rsidR="00C83564" w:rsidRPr="00080E77" w14:paraId="4A3D4DB8" w14:textId="77777777" w:rsidTr="004E0914">
        <w:tc>
          <w:tcPr>
            <w:tcW w:w="3397" w:type="dxa"/>
            <w:shd w:val="clear" w:color="auto" w:fill="D9D9D9" w:themeFill="background1" w:themeFillShade="D9"/>
          </w:tcPr>
          <w:p w14:paraId="6D0A6167"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42479A1D"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4FF02160" w14:textId="77777777" w:rsidR="0038397E" w:rsidRPr="0038397E" w:rsidRDefault="0038397E" w:rsidP="0038397E">
            <w:pPr>
              <w:suppressAutoHyphens/>
              <w:rPr>
                <w:rFonts w:ascii="Century Gothic" w:hAnsi="Century Gothic"/>
                <w:spacing w:val="-3"/>
                <w:sz w:val="20"/>
              </w:rPr>
            </w:pPr>
          </w:p>
        </w:tc>
      </w:tr>
      <w:tr w:rsidR="00BD263E" w:rsidRPr="00080E77" w14:paraId="02A9ADB3" w14:textId="77777777" w:rsidTr="004E0914">
        <w:tc>
          <w:tcPr>
            <w:tcW w:w="3397" w:type="dxa"/>
            <w:shd w:val="clear" w:color="auto" w:fill="D9D9D9" w:themeFill="background1" w:themeFillShade="D9"/>
          </w:tcPr>
          <w:p w14:paraId="2CDB70A0"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797C695C" w14:textId="77777777"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14:paraId="34E2FA50" w14:textId="77777777" w:rsidR="002353A0" w:rsidRPr="0038397E" w:rsidRDefault="002353A0" w:rsidP="002353A0">
            <w:pPr>
              <w:tabs>
                <w:tab w:val="left" w:pos="2977"/>
                <w:tab w:val="left" w:pos="9180"/>
              </w:tabs>
              <w:suppressAutoHyphens/>
              <w:rPr>
                <w:rFonts w:ascii="Century Gothic" w:hAnsi="Century Gothic"/>
                <w:spacing w:val="-3"/>
                <w:sz w:val="20"/>
              </w:rPr>
            </w:pPr>
          </w:p>
        </w:tc>
      </w:tr>
    </w:tbl>
    <w:p w14:paraId="42796F50" w14:textId="77777777"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14:paraId="47B02E40"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40F84DBD" w14:textId="77777777" w:rsidTr="004E0914">
        <w:tc>
          <w:tcPr>
            <w:tcW w:w="3397" w:type="dxa"/>
            <w:shd w:val="clear" w:color="auto" w:fill="D9D9D9" w:themeFill="background1" w:themeFillShade="D9"/>
          </w:tcPr>
          <w:p w14:paraId="4CEB2417"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3F66D379" w14:textId="24551BCB" w:rsidR="00AA03B8" w:rsidRPr="00AA03B8" w:rsidRDefault="00AA03B8" w:rsidP="00AA03B8">
            <w:pPr>
              <w:suppressAutoHyphens/>
              <w:jc w:val="both"/>
              <w:rPr>
                <w:rFonts w:ascii="Century Gothic" w:hAnsi="Century Gothic"/>
                <w:spacing w:val="-2"/>
                <w:sz w:val="20"/>
              </w:rPr>
            </w:pPr>
            <w:r w:rsidRPr="00AA03B8">
              <w:rPr>
                <w:rFonts w:ascii="Century Gothic" w:hAnsi="Century Gothic"/>
                <w:spacing w:val="-2"/>
                <w:sz w:val="20"/>
              </w:rPr>
              <w:t xml:space="preserve">Reporting to the Senior Manager - Consumer Sales and Commercial Operations, the </w:t>
            </w:r>
            <w:r>
              <w:rPr>
                <w:rFonts w:ascii="Century Gothic" w:hAnsi="Century Gothic"/>
                <w:spacing w:val="-2"/>
                <w:sz w:val="20"/>
              </w:rPr>
              <w:t>C</w:t>
            </w:r>
            <w:r w:rsidRPr="00AA03B8">
              <w:rPr>
                <w:rFonts w:ascii="Century Gothic" w:hAnsi="Century Gothic"/>
                <w:spacing w:val="-2"/>
                <w:sz w:val="20"/>
              </w:rPr>
              <w:t xml:space="preserve">onsumer </w:t>
            </w:r>
            <w:r>
              <w:rPr>
                <w:rFonts w:ascii="Century Gothic" w:hAnsi="Century Gothic"/>
                <w:spacing w:val="-2"/>
                <w:sz w:val="20"/>
              </w:rPr>
              <w:t>S</w:t>
            </w:r>
            <w:r w:rsidRPr="00AA03B8">
              <w:rPr>
                <w:rFonts w:ascii="Century Gothic" w:hAnsi="Century Gothic"/>
                <w:spacing w:val="-2"/>
                <w:sz w:val="20"/>
              </w:rPr>
              <w:t xml:space="preserve">ales </w:t>
            </w:r>
            <w:r>
              <w:rPr>
                <w:rFonts w:ascii="Century Gothic" w:hAnsi="Century Gothic"/>
                <w:spacing w:val="-2"/>
                <w:sz w:val="20"/>
              </w:rPr>
              <w:t>E</w:t>
            </w:r>
            <w:r w:rsidRPr="00AA03B8">
              <w:rPr>
                <w:rFonts w:ascii="Century Gothic" w:hAnsi="Century Gothic"/>
                <w:spacing w:val="-2"/>
                <w:sz w:val="20"/>
              </w:rPr>
              <w:t>xecutive role will be responsible for evolving the membership strategy for both F1 and MotoGP and we are seeking a creative, strategic, well organised and talented individual with a fan-first mentality.  </w:t>
            </w:r>
          </w:p>
          <w:p w14:paraId="66CB8C64" w14:textId="77777777" w:rsidR="00AA03B8" w:rsidRPr="00AA03B8" w:rsidRDefault="00AA03B8" w:rsidP="00AA03B8">
            <w:pPr>
              <w:suppressAutoHyphens/>
              <w:jc w:val="both"/>
              <w:rPr>
                <w:rFonts w:ascii="Century Gothic" w:hAnsi="Century Gothic"/>
                <w:spacing w:val="-2"/>
                <w:sz w:val="20"/>
              </w:rPr>
            </w:pPr>
          </w:p>
          <w:p w14:paraId="29D5C474" w14:textId="77777777" w:rsidR="00AA03B8" w:rsidRPr="00AA03B8" w:rsidRDefault="00AA03B8" w:rsidP="00AA03B8">
            <w:pPr>
              <w:suppressAutoHyphens/>
              <w:jc w:val="both"/>
              <w:rPr>
                <w:rFonts w:ascii="Century Gothic" w:hAnsi="Century Gothic"/>
                <w:spacing w:val="-2"/>
                <w:sz w:val="20"/>
              </w:rPr>
            </w:pPr>
            <w:r w:rsidRPr="00AA03B8">
              <w:rPr>
                <w:rFonts w:ascii="Century Gothic" w:hAnsi="Century Gothic"/>
                <w:spacing w:val="-2"/>
                <w:sz w:val="20"/>
              </w:rPr>
              <w:t>This role will oversee the development and implementation of strategies to not just ensure that current members renew their membership’s year on year, but also enacts campaigns to drive growth and engagement of new members.</w:t>
            </w:r>
          </w:p>
          <w:p w14:paraId="298DD385" w14:textId="77777777" w:rsidR="007865B4" w:rsidRPr="00AA03B8" w:rsidRDefault="007865B4" w:rsidP="00AA03B8">
            <w:pPr>
              <w:suppressAutoHyphens/>
              <w:jc w:val="both"/>
              <w:rPr>
                <w:rFonts w:ascii="Century Gothic" w:hAnsi="Century Gothic"/>
                <w:spacing w:val="-2"/>
                <w:sz w:val="20"/>
              </w:rPr>
            </w:pPr>
          </w:p>
        </w:tc>
      </w:tr>
      <w:tr w:rsidR="007865B4" w:rsidRPr="00080E77" w14:paraId="6822CA08" w14:textId="77777777" w:rsidTr="004E0914">
        <w:tc>
          <w:tcPr>
            <w:tcW w:w="3397" w:type="dxa"/>
            <w:shd w:val="clear" w:color="auto" w:fill="D9D9D9" w:themeFill="background1" w:themeFillShade="D9"/>
          </w:tcPr>
          <w:p w14:paraId="10CB1CE3" w14:textId="77777777" w:rsidR="007865B4" w:rsidRPr="00080E77" w:rsidRDefault="007865B4" w:rsidP="007865B4">
            <w:pPr>
              <w:tabs>
                <w:tab w:val="left" w:pos="2977"/>
                <w:tab w:val="left" w:pos="9180"/>
              </w:tabs>
              <w:suppressAutoHyphens/>
              <w:rPr>
                <w:rFonts w:ascii="Century Gothic" w:hAnsi="Century Gothic"/>
                <w:b/>
                <w:sz w:val="20"/>
              </w:rPr>
            </w:pPr>
            <w:r>
              <w:br w:type="page"/>
            </w:r>
            <w:r>
              <w:rPr>
                <w:rFonts w:ascii="Century Gothic" w:hAnsi="Century Gothic"/>
                <w:b/>
                <w:sz w:val="20"/>
              </w:rPr>
              <w:t>Core Responsibilities</w:t>
            </w:r>
          </w:p>
        </w:tc>
        <w:tc>
          <w:tcPr>
            <w:tcW w:w="5812" w:type="dxa"/>
          </w:tcPr>
          <w:p w14:paraId="11032BC0" w14:textId="77777777" w:rsidR="00AA03B8" w:rsidRDefault="00AA03B8" w:rsidP="00AA03B8">
            <w:pPr>
              <w:suppressAutoHyphens/>
              <w:jc w:val="both"/>
              <w:rPr>
                <w:rFonts w:ascii="Century Gothic" w:hAnsi="Century Gothic"/>
                <w:spacing w:val="-2"/>
                <w:sz w:val="20"/>
              </w:rPr>
            </w:pPr>
            <w:r>
              <w:rPr>
                <w:rFonts w:ascii="Century Gothic" w:hAnsi="Century Gothic"/>
                <w:spacing w:val="-3"/>
                <w:sz w:val="20"/>
              </w:rPr>
              <w:br/>
            </w:r>
            <w:r>
              <w:rPr>
                <w:rFonts w:ascii="Century Gothic" w:hAnsi="Century Gothic"/>
                <w:spacing w:val="-2"/>
                <w:sz w:val="20"/>
              </w:rPr>
              <w:t>In a team of 4, the successful applicant will be able to facilitate ideas and a strategic plan to grow the membership programs for two world class events, the Formula 1 Australian Grand Prix and the Motorcycle Grand Prix.</w:t>
            </w:r>
          </w:p>
          <w:p w14:paraId="41B20E1C" w14:textId="77777777" w:rsidR="00AA03B8" w:rsidRDefault="00AA03B8" w:rsidP="00AA03B8">
            <w:pPr>
              <w:suppressAutoHyphens/>
              <w:jc w:val="both"/>
              <w:rPr>
                <w:rFonts w:ascii="Century Gothic" w:hAnsi="Century Gothic"/>
                <w:spacing w:val="-2"/>
                <w:sz w:val="20"/>
              </w:rPr>
            </w:pPr>
          </w:p>
          <w:p w14:paraId="66D42C33"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Develop and implement acquisition, lapsed member and renewal campaigns for Riders United and GP Advantage;</w:t>
            </w:r>
          </w:p>
          <w:p w14:paraId="74B08D2C"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Adopt best practice sports marketing strategies;</w:t>
            </w:r>
          </w:p>
          <w:p w14:paraId="3424B95C"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Liaise with internal and external stakeholders to coordinate strategies to grow membership base;</w:t>
            </w:r>
          </w:p>
          <w:p w14:paraId="7FE7D94E"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Identify new opportunities and strategies to grow the membership base;</w:t>
            </w:r>
          </w:p>
          <w:p w14:paraId="7C889233"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Management of all membership fulfilment;</w:t>
            </w:r>
          </w:p>
          <w:p w14:paraId="1E5D9AF3"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Manage member data and customer feedback process;</w:t>
            </w:r>
          </w:p>
          <w:p w14:paraId="080E2FD3" w14:textId="77777777" w:rsid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Manage membership research projects and</w:t>
            </w:r>
          </w:p>
          <w:p w14:paraId="694A5D2F" w14:textId="705910C6" w:rsidR="007865B4" w:rsidRPr="00AA03B8" w:rsidRDefault="00AA03B8" w:rsidP="00AA03B8">
            <w:pPr>
              <w:pStyle w:val="ListParagraph"/>
              <w:numPr>
                <w:ilvl w:val="0"/>
                <w:numId w:val="18"/>
              </w:numPr>
              <w:suppressAutoHyphens/>
              <w:jc w:val="both"/>
              <w:rPr>
                <w:rFonts w:ascii="Century Gothic" w:hAnsi="Century Gothic"/>
                <w:spacing w:val="-2"/>
                <w:sz w:val="20"/>
              </w:rPr>
            </w:pPr>
            <w:r>
              <w:rPr>
                <w:rFonts w:ascii="Century Gothic" w:hAnsi="Century Gothic"/>
                <w:spacing w:val="-2"/>
                <w:sz w:val="20"/>
              </w:rPr>
              <w:t xml:space="preserve">Manage all membership fulfilment activities during both events </w:t>
            </w:r>
          </w:p>
          <w:p w14:paraId="64E5BB40" w14:textId="77777777" w:rsidR="007865B4" w:rsidRDefault="007865B4" w:rsidP="007865B4">
            <w:pPr>
              <w:ind w:right="1"/>
              <w:jc w:val="both"/>
              <w:rPr>
                <w:spacing w:val="-3"/>
                <w:sz w:val="22"/>
                <w:szCs w:val="22"/>
              </w:rPr>
            </w:pPr>
          </w:p>
          <w:p w14:paraId="5C4D64A9"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14:paraId="201B7C24" w14:textId="77777777" w:rsidR="007865B4" w:rsidRPr="007906C4" w:rsidRDefault="007865B4" w:rsidP="007865B4">
            <w:pPr>
              <w:numPr>
                <w:ilvl w:val="12"/>
                <w:numId w:val="0"/>
              </w:numPr>
              <w:ind w:right="1"/>
              <w:jc w:val="both"/>
              <w:rPr>
                <w:rFonts w:ascii="Century Gothic" w:hAnsi="Century Gothic"/>
                <w:spacing w:val="-3"/>
                <w:sz w:val="20"/>
              </w:rPr>
            </w:pPr>
          </w:p>
          <w:p w14:paraId="59763543" w14:textId="77777777"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14:paraId="26E6306C" w14:textId="77777777" w:rsidR="007865B4" w:rsidRDefault="007865B4" w:rsidP="007865B4">
            <w:pPr>
              <w:numPr>
                <w:ilvl w:val="12"/>
                <w:numId w:val="0"/>
              </w:numPr>
              <w:ind w:right="1"/>
              <w:jc w:val="both"/>
              <w:rPr>
                <w:rFonts w:ascii="Century Gothic" w:hAnsi="Century Gothic"/>
                <w:spacing w:val="-3"/>
                <w:sz w:val="20"/>
              </w:rPr>
            </w:pPr>
          </w:p>
          <w:p w14:paraId="67DC53FB" w14:textId="77777777"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14:paraId="0A8EBF98" w14:textId="77777777" w:rsidR="007865B4" w:rsidRDefault="007865B4" w:rsidP="007865B4">
            <w:pPr>
              <w:numPr>
                <w:ilvl w:val="12"/>
                <w:numId w:val="0"/>
              </w:numPr>
              <w:ind w:right="1"/>
              <w:jc w:val="both"/>
              <w:rPr>
                <w:rFonts w:ascii="Century Gothic" w:hAnsi="Century Gothic"/>
                <w:spacing w:val="-3"/>
                <w:sz w:val="20"/>
              </w:rPr>
            </w:pPr>
          </w:p>
          <w:p w14:paraId="2158E3EA" w14:textId="77777777" w:rsidR="00626DF4" w:rsidRPr="007906C4" w:rsidRDefault="00626DF4" w:rsidP="007865B4">
            <w:pPr>
              <w:numPr>
                <w:ilvl w:val="12"/>
                <w:numId w:val="0"/>
              </w:numPr>
              <w:ind w:right="1"/>
              <w:jc w:val="both"/>
              <w:rPr>
                <w:rFonts w:ascii="Century Gothic" w:hAnsi="Century Gothic"/>
                <w:spacing w:val="-3"/>
                <w:sz w:val="20"/>
              </w:rPr>
            </w:pPr>
          </w:p>
          <w:p w14:paraId="6A2C5C99" w14:textId="77777777"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14:paraId="42E95C8F" w14:textId="77777777" w:rsidR="007865B4" w:rsidRDefault="007865B4" w:rsidP="007865B4">
            <w:pPr>
              <w:suppressAutoHyphens/>
              <w:spacing w:before="60"/>
              <w:jc w:val="both"/>
              <w:rPr>
                <w:rFonts w:ascii="Century Gothic" w:hAnsi="Century Gothic"/>
                <w:b/>
                <w:spacing w:val="-2"/>
                <w:sz w:val="20"/>
                <w:u w:val="single"/>
              </w:rPr>
            </w:pPr>
          </w:p>
          <w:p w14:paraId="0D90A0E9" w14:textId="77777777"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0079BEA6" w14:textId="77777777" w:rsidR="007865B4" w:rsidRDefault="007865B4" w:rsidP="007865B4">
            <w:pPr>
              <w:numPr>
                <w:ilvl w:val="12"/>
                <w:numId w:val="0"/>
              </w:numPr>
              <w:ind w:right="1"/>
              <w:jc w:val="both"/>
              <w:rPr>
                <w:rFonts w:ascii="Century Gothic" w:hAnsi="Century Gothic"/>
                <w:spacing w:val="-3"/>
                <w:sz w:val="20"/>
              </w:rPr>
            </w:pPr>
          </w:p>
          <w:p w14:paraId="59939C07"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Encouraging openness and trust by sharing information widely, listening, welcoming constructive challenge and enco</w:t>
            </w:r>
            <w:r>
              <w:rPr>
                <w:rFonts w:ascii="Century Gothic" w:hAnsi="Century Gothic"/>
                <w:spacing w:val="-3"/>
                <w:sz w:val="20"/>
              </w:rPr>
              <w:t>uraging free dialogue.</w:t>
            </w:r>
          </w:p>
          <w:p w14:paraId="0ED59B74" w14:textId="77777777" w:rsidR="007865B4" w:rsidRPr="00011D3A" w:rsidRDefault="007865B4" w:rsidP="007865B4">
            <w:pPr>
              <w:numPr>
                <w:ilvl w:val="12"/>
                <w:numId w:val="0"/>
              </w:numPr>
              <w:ind w:right="1"/>
              <w:jc w:val="both"/>
              <w:rPr>
                <w:rFonts w:ascii="Century Gothic" w:hAnsi="Century Gothic"/>
                <w:spacing w:val="-3"/>
                <w:sz w:val="20"/>
              </w:rPr>
            </w:pPr>
          </w:p>
          <w:p w14:paraId="33B96717" w14:textId="77777777"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14:paraId="6AB4AECD" w14:textId="77777777" w:rsidR="007865B4" w:rsidRDefault="007865B4" w:rsidP="007865B4">
            <w:pPr>
              <w:numPr>
                <w:ilvl w:val="12"/>
                <w:numId w:val="0"/>
              </w:numPr>
              <w:ind w:right="1"/>
              <w:jc w:val="both"/>
              <w:rPr>
                <w:rFonts w:ascii="Century Gothic" w:hAnsi="Century Gothic"/>
                <w:spacing w:val="-3"/>
                <w:sz w:val="20"/>
              </w:rPr>
            </w:pPr>
          </w:p>
          <w:p w14:paraId="30A2D952" w14:textId="77777777"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7277F960" w14:textId="77777777" w:rsidR="007865B4" w:rsidRPr="00EF3473" w:rsidRDefault="007865B4" w:rsidP="007865B4">
            <w:pPr>
              <w:numPr>
                <w:ilvl w:val="12"/>
                <w:numId w:val="0"/>
              </w:numPr>
              <w:ind w:right="1"/>
              <w:jc w:val="both"/>
              <w:rPr>
                <w:rFonts w:ascii="Century Gothic" w:hAnsi="Century Gothic"/>
                <w:spacing w:val="-3"/>
                <w:sz w:val="20"/>
              </w:rPr>
            </w:pPr>
          </w:p>
          <w:p w14:paraId="7FA6C8DD" w14:textId="77777777"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14:paraId="3C74C331" w14:textId="77777777" w:rsidR="007865B4" w:rsidRPr="001B0637" w:rsidRDefault="007865B4" w:rsidP="007865B4">
            <w:pPr>
              <w:suppressAutoHyphens/>
              <w:rPr>
                <w:rFonts w:ascii="Century Gothic" w:hAnsi="Century Gothic"/>
                <w:b/>
                <w:spacing w:val="-3"/>
                <w:sz w:val="20"/>
                <w:u w:val="single"/>
              </w:rPr>
            </w:pPr>
          </w:p>
          <w:p w14:paraId="667100D8" w14:textId="77777777"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14:paraId="183A5AB4" w14:textId="77777777" w:rsidR="007865B4" w:rsidRPr="001B0637" w:rsidRDefault="007865B4" w:rsidP="007865B4">
            <w:pPr>
              <w:numPr>
                <w:ilvl w:val="12"/>
                <w:numId w:val="0"/>
              </w:numPr>
              <w:ind w:right="1"/>
              <w:jc w:val="both"/>
              <w:rPr>
                <w:rFonts w:ascii="Century Gothic" w:hAnsi="Century Gothic"/>
                <w:spacing w:val="-3"/>
                <w:sz w:val="20"/>
              </w:rPr>
            </w:pPr>
          </w:p>
          <w:p w14:paraId="11B66503" w14:textId="77777777" w:rsidR="007865B4"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14:paraId="1D4DF1B8"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14:paraId="523EDA36"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14:paraId="50463690" w14:textId="77777777" w:rsidR="007865B4" w:rsidRPr="001B0637" w:rsidRDefault="00D23515" w:rsidP="007865B4">
            <w:pPr>
              <w:pStyle w:val="ListParagraph"/>
              <w:numPr>
                <w:ilvl w:val="0"/>
                <w:numId w:val="1"/>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14:paraId="30A81033" w14:textId="77777777" w:rsidR="007865B4" w:rsidRDefault="007865B4" w:rsidP="007865B4">
            <w:pPr>
              <w:pStyle w:val="ListParagraph"/>
              <w:numPr>
                <w:ilvl w:val="0"/>
                <w:numId w:val="1"/>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14:paraId="3A823EDB" w14:textId="77777777" w:rsidR="001055B5" w:rsidRDefault="001055B5" w:rsidP="007865B4">
            <w:pPr>
              <w:ind w:right="33"/>
              <w:jc w:val="both"/>
              <w:rPr>
                <w:rFonts w:ascii="Century Gothic" w:hAnsi="Century Gothic"/>
                <w:spacing w:val="-3"/>
                <w:sz w:val="20"/>
              </w:rPr>
            </w:pPr>
          </w:p>
          <w:p w14:paraId="31B23898" w14:textId="77777777"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14:paraId="1D31DB50" w14:textId="77777777" w:rsidR="007865B4" w:rsidRDefault="007865B4" w:rsidP="007865B4">
            <w:pPr>
              <w:ind w:right="33"/>
              <w:jc w:val="both"/>
              <w:rPr>
                <w:rFonts w:ascii="Century Gothic" w:hAnsi="Century Gothic"/>
                <w:sz w:val="20"/>
              </w:rPr>
            </w:pPr>
          </w:p>
          <w:p w14:paraId="1CB75977" w14:textId="77777777"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14:paraId="40EFF60F" w14:textId="77777777" w:rsidR="007865B4" w:rsidRPr="001B0637" w:rsidRDefault="007865B4" w:rsidP="007865B4">
            <w:pPr>
              <w:suppressAutoHyphens/>
              <w:rPr>
                <w:rFonts w:ascii="Century Gothic" w:hAnsi="Century Gothic"/>
                <w:b/>
                <w:spacing w:val="-3"/>
                <w:sz w:val="20"/>
                <w:u w:val="single"/>
              </w:rPr>
            </w:pPr>
          </w:p>
          <w:p w14:paraId="50BF7065" w14:textId="77777777" w:rsidR="007865B4" w:rsidRPr="001B0637" w:rsidRDefault="007865B4" w:rsidP="007865B4">
            <w:pPr>
              <w:ind w:right="33"/>
              <w:jc w:val="both"/>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procedures and work practices.</w:t>
            </w:r>
          </w:p>
          <w:p w14:paraId="5B47AF74" w14:textId="77777777" w:rsidR="007865B4" w:rsidRPr="001625CC" w:rsidRDefault="007865B4" w:rsidP="007865B4">
            <w:pPr>
              <w:ind w:right="33"/>
              <w:jc w:val="both"/>
              <w:rPr>
                <w:spacing w:val="-3"/>
                <w:sz w:val="22"/>
                <w:szCs w:val="22"/>
              </w:rPr>
            </w:pPr>
          </w:p>
        </w:tc>
      </w:tr>
    </w:tbl>
    <w:p w14:paraId="19AD8D65" w14:textId="77777777" w:rsidR="00AB0F0F" w:rsidRDefault="00AB0F0F">
      <w:pPr>
        <w:pStyle w:val="Header"/>
        <w:tabs>
          <w:tab w:val="clear" w:pos="4153"/>
          <w:tab w:val="clear" w:pos="8306"/>
        </w:tabs>
        <w:rPr>
          <w:rFonts w:ascii="Century Gothic" w:hAnsi="Century Gothic"/>
          <w:sz w:val="20"/>
        </w:rPr>
      </w:pPr>
    </w:p>
    <w:p w14:paraId="3216122A" w14:textId="77777777" w:rsidR="00AB0F0F" w:rsidRDefault="00AB0F0F">
      <w:pPr>
        <w:rPr>
          <w:rFonts w:ascii="Century Gothic" w:hAnsi="Century Gothic"/>
          <w:sz w:val="20"/>
        </w:rPr>
      </w:pPr>
      <w:r>
        <w:rPr>
          <w:rFonts w:ascii="Century Gothic" w:hAnsi="Century Gothic"/>
          <w:sz w:val="20"/>
        </w:rPr>
        <w:br w:type="page"/>
      </w:r>
    </w:p>
    <w:p w14:paraId="13C3B11F" w14:textId="77777777" w:rsidR="001B0637" w:rsidRDefault="001B0637">
      <w:pPr>
        <w:tabs>
          <w:tab w:val="left" w:pos="3459"/>
          <w:tab w:val="left" w:pos="4026"/>
        </w:tabs>
        <w:suppressAutoHyphens/>
        <w:jc w:val="both"/>
        <w:rPr>
          <w:rFonts w:ascii="Century Gothic" w:hAnsi="Century Gothic"/>
          <w:b/>
          <w:i/>
          <w:spacing w:val="-2"/>
          <w:sz w:val="20"/>
        </w:rPr>
      </w:pPr>
    </w:p>
    <w:p w14:paraId="556EC043" w14:textId="77777777" w:rsidR="00894469" w:rsidRPr="001B0637" w:rsidRDefault="00AA7B05">
      <w:pPr>
        <w:pStyle w:val="Heading1"/>
        <w:rPr>
          <w:rFonts w:ascii="Century Gothic" w:hAnsi="Century Gothic"/>
          <w:sz w:val="22"/>
        </w:rPr>
      </w:pPr>
      <w:bookmarkStart w:id="1" w:name="_Toc497037353"/>
      <w:bookmarkStart w:id="2" w:name="_Toc497037412"/>
      <w:bookmarkStart w:id="3" w:name="_Toc506171658"/>
      <w:r w:rsidRPr="001B0637">
        <w:rPr>
          <w:rFonts w:ascii="Century Gothic" w:hAnsi="Century Gothic"/>
          <w:sz w:val="22"/>
        </w:rPr>
        <w:t>Person Specification</w:t>
      </w:r>
      <w:bookmarkEnd w:id="1"/>
      <w:bookmarkEnd w:id="2"/>
      <w:bookmarkEnd w:id="3"/>
    </w:p>
    <w:p w14:paraId="14D2A78E" w14:textId="77777777" w:rsidR="00894469" w:rsidRPr="00080E77" w:rsidRDefault="00894469">
      <w:pPr>
        <w:pStyle w:val="Header"/>
        <w:tabs>
          <w:tab w:val="clear" w:pos="4153"/>
          <w:tab w:val="clear" w:pos="8306"/>
        </w:tabs>
        <w:rPr>
          <w:rFonts w:ascii="Century Gothic" w:hAnsi="Century Gothic"/>
          <w:sz w:val="20"/>
        </w:rPr>
      </w:pPr>
    </w:p>
    <w:p w14:paraId="7072A48F" w14:textId="77777777" w:rsidR="00894469" w:rsidRPr="00080E77" w:rsidRDefault="00894469">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0941027D" w14:textId="77777777" w:rsidTr="00CE360C">
        <w:tc>
          <w:tcPr>
            <w:tcW w:w="3397" w:type="dxa"/>
            <w:shd w:val="clear" w:color="auto" w:fill="D9D9D9" w:themeFill="background1" w:themeFillShade="D9"/>
          </w:tcPr>
          <w:p w14:paraId="79200811"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27F68FAC" w14:textId="77777777" w:rsidR="00AA03B8" w:rsidRPr="00AA03B8" w:rsidRDefault="00AA03B8" w:rsidP="00AA03B8">
            <w:pPr>
              <w:spacing w:after="100"/>
              <w:rPr>
                <w:rFonts w:ascii="Century Gothic" w:hAnsi="Century Gothic"/>
                <w:b/>
                <w:bCs/>
                <w:spacing w:val="-3"/>
                <w:sz w:val="20"/>
              </w:rPr>
            </w:pPr>
            <w:r w:rsidRPr="00AA03B8">
              <w:rPr>
                <w:rFonts w:ascii="Century Gothic" w:hAnsi="Century Gothic"/>
                <w:b/>
                <w:bCs/>
                <w:spacing w:val="-3"/>
                <w:sz w:val="20"/>
              </w:rPr>
              <w:t>About You:</w:t>
            </w:r>
          </w:p>
          <w:p w14:paraId="566432B1"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 xml:space="preserve">2+ years of marketing experience (preferable) </w:t>
            </w:r>
          </w:p>
          <w:p w14:paraId="1A39B24E" w14:textId="1DF94B00"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 xml:space="preserve">2 - 3 years </w:t>
            </w:r>
            <w:r w:rsidR="00ED4A95">
              <w:rPr>
                <w:rFonts w:ascii="Century Gothic" w:hAnsi="Century Gothic"/>
                <w:spacing w:val="-3"/>
                <w:sz w:val="20"/>
              </w:rPr>
              <w:t>customer</w:t>
            </w:r>
            <w:r w:rsidRPr="00AA03B8">
              <w:rPr>
                <w:rFonts w:ascii="Century Gothic" w:hAnsi="Century Gothic"/>
                <w:spacing w:val="-3"/>
                <w:sz w:val="20"/>
              </w:rPr>
              <w:t xml:space="preserve"> management experience</w:t>
            </w:r>
          </w:p>
          <w:p w14:paraId="5B8B40B4"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Thorough understanding of the membership sector and what it takes to make an organisation successful in that area</w:t>
            </w:r>
          </w:p>
          <w:p w14:paraId="41E81D39"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Highly developed customer service and relationship management skills</w:t>
            </w:r>
          </w:p>
          <w:p w14:paraId="536D6A22"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Effective self-management, including the ability to prioritise, meet deadlines and time management</w:t>
            </w:r>
          </w:p>
          <w:p w14:paraId="0662B81D"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 xml:space="preserve">Strong understanding of CRM applications </w:t>
            </w:r>
          </w:p>
          <w:p w14:paraId="2D5E6881"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 xml:space="preserve">Strong knowledge of ticketing systems </w:t>
            </w:r>
          </w:p>
          <w:p w14:paraId="55BE1EC6"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Flexibility of working hours (to suit the varying time schedule and seasonal priorities)</w:t>
            </w:r>
          </w:p>
          <w:p w14:paraId="42D3C4E8" w14:textId="77777777" w:rsid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Hold a valid Driver's Licence</w:t>
            </w:r>
          </w:p>
          <w:p w14:paraId="505ED9B3" w14:textId="280E2CA7" w:rsidR="00AA03B8" w:rsidRPr="00AA03B8" w:rsidRDefault="00AA03B8" w:rsidP="00AA03B8">
            <w:pPr>
              <w:pStyle w:val="ListParagraph"/>
              <w:numPr>
                <w:ilvl w:val="0"/>
                <w:numId w:val="19"/>
              </w:numPr>
              <w:spacing w:after="100"/>
              <w:rPr>
                <w:rFonts w:ascii="Century Gothic" w:hAnsi="Century Gothic"/>
                <w:spacing w:val="-3"/>
                <w:sz w:val="20"/>
              </w:rPr>
            </w:pPr>
            <w:r w:rsidRPr="00AA03B8">
              <w:rPr>
                <w:rFonts w:ascii="Century Gothic" w:hAnsi="Century Gothic"/>
                <w:spacing w:val="-3"/>
                <w:sz w:val="20"/>
              </w:rPr>
              <w:t>The successful candidate will require a valid Victorian Working with Children Check</w:t>
            </w:r>
          </w:p>
          <w:p w14:paraId="7BB92803" w14:textId="77777777" w:rsidR="008E081D" w:rsidRPr="00080E77" w:rsidRDefault="008E081D" w:rsidP="001D7562">
            <w:pPr>
              <w:pStyle w:val="Header"/>
              <w:tabs>
                <w:tab w:val="clear" w:pos="4153"/>
                <w:tab w:val="clear" w:pos="8306"/>
              </w:tabs>
              <w:suppressAutoHyphens/>
              <w:rPr>
                <w:rFonts w:ascii="Century Gothic" w:hAnsi="Century Gothic"/>
                <w:spacing w:val="-3"/>
                <w:sz w:val="20"/>
              </w:rPr>
            </w:pPr>
          </w:p>
        </w:tc>
      </w:tr>
    </w:tbl>
    <w:p w14:paraId="1E093194"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1A991055" w14:textId="77777777" w:rsidTr="00626DF4">
        <w:trPr>
          <w:trHeight w:val="5854"/>
        </w:trPr>
        <w:tc>
          <w:tcPr>
            <w:tcW w:w="3397" w:type="dxa"/>
            <w:shd w:val="clear" w:color="auto" w:fill="D9D9D9" w:themeFill="background1" w:themeFillShade="D9"/>
          </w:tcPr>
          <w:p w14:paraId="61BFCF22"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167A396D" w14:textId="77777777"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14:paraId="69F9B78D" w14:textId="77777777"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2C039BD4" w14:textId="70D56A44"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r w:rsidR="00AA03B8" w:rsidRPr="00693FC8">
              <w:rPr>
                <w:rFonts w:ascii="Century Gothic" w:hAnsi="Century Gothic"/>
                <w:spacing w:val="-3"/>
                <w:sz w:val="20"/>
              </w:rPr>
              <w:t>customers’</w:t>
            </w:r>
            <w:r w:rsidRPr="00693FC8">
              <w:rPr>
                <w:rFonts w:ascii="Century Gothic" w:hAnsi="Century Gothic"/>
                <w:spacing w:val="-3"/>
                <w:sz w:val="20"/>
              </w:rPr>
              <w:t xml:space="preserve"> needs or concerns to ensure the quality of service meets agreed standards</w:t>
            </w:r>
          </w:p>
          <w:p w14:paraId="217DD44E" w14:textId="77777777" w:rsidR="00CE360C" w:rsidRDefault="00CE360C" w:rsidP="00CE360C">
            <w:pPr>
              <w:spacing w:after="100"/>
              <w:rPr>
                <w:rFonts w:ascii="Century Gothic" w:hAnsi="Century Gothic"/>
                <w:spacing w:val="-3"/>
                <w:sz w:val="20"/>
              </w:rPr>
            </w:pPr>
          </w:p>
          <w:p w14:paraId="73468854" w14:textId="77777777" w:rsidR="00CE360C" w:rsidRPr="00B11F0B" w:rsidRDefault="00020A57" w:rsidP="00CE360C">
            <w:pPr>
              <w:spacing w:after="100"/>
              <w:rPr>
                <w:rFonts w:ascii="Century Gothic" w:hAnsi="Century Gothic"/>
                <w:spacing w:val="-3"/>
                <w:sz w:val="20"/>
              </w:rPr>
            </w:pPr>
            <w:r>
              <w:rPr>
                <w:rFonts w:ascii="Century Gothic" w:hAnsi="Century Gothic"/>
                <w:spacing w:val="-3"/>
                <w:sz w:val="20"/>
              </w:rPr>
              <w:t>Teamwork</w:t>
            </w:r>
            <w:r w:rsidR="00F276BE">
              <w:rPr>
                <w:rFonts w:ascii="Century Gothic" w:hAnsi="Century Gothic"/>
                <w:spacing w:val="-3"/>
                <w:sz w:val="20"/>
              </w:rPr>
              <w:t>, Adaptability and Resilience</w:t>
            </w:r>
          </w:p>
          <w:p w14:paraId="73E8F01B" w14:textId="77777777" w:rsidR="00F276BE" w:rsidRDefault="00F276BE" w:rsidP="00CE360C">
            <w:pPr>
              <w:numPr>
                <w:ilvl w:val="0"/>
                <w:numId w:val="15"/>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14:paraId="4A5023BC" w14:textId="77777777" w:rsidR="00CE360C" w:rsidRDefault="00CE360C" w:rsidP="00CE360C">
            <w:pPr>
              <w:numPr>
                <w:ilvl w:val="0"/>
                <w:numId w:val="15"/>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14:paraId="7F77BABC" w14:textId="77777777" w:rsidR="00F276BE" w:rsidRDefault="00F276BE" w:rsidP="00CE360C">
            <w:pPr>
              <w:numPr>
                <w:ilvl w:val="0"/>
                <w:numId w:val="15"/>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14:paraId="2F43BD87" w14:textId="77777777" w:rsidR="00CE360C" w:rsidRDefault="00CE360C" w:rsidP="00CE360C">
            <w:pPr>
              <w:spacing w:after="100"/>
              <w:rPr>
                <w:rFonts w:ascii="Century Gothic" w:hAnsi="Century Gothic"/>
                <w:spacing w:val="-3"/>
                <w:sz w:val="20"/>
              </w:rPr>
            </w:pPr>
          </w:p>
          <w:p w14:paraId="54CAA801" w14:textId="77777777"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14:paraId="7D9BFE88" w14:textId="77777777"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14:paraId="6480B53E" w14:textId="77777777"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14:paraId="38B605E2" w14:textId="77777777"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14:paraId="3A0C7A55" w14:textId="77777777" w:rsidR="00DB18CF" w:rsidRPr="005C0270" w:rsidRDefault="00DB18CF" w:rsidP="00DB18CF">
            <w:pPr>
              <w:rPr>
                <w:rFonts w:ascii="Century Gothic" w:hAnsi="Century Gothic"/>
                <w:spacing w:val="-3"/>
                <w:sz w:val="20"/>
              </w:rPr>
            </w:pPr>
          </w:p>
          <w:p w14:paraId="0BBDD072" w14:textId="77777777" w:rsidR="00020A57" w:rsidRDefault="007865B4" w:rsidP="00020A57">
            <w:pPr>
              <w:spacing w:after="100"/>
              <w:rPr>
                <w:rFonts w:ascii="Century Gothic" w:hAnsi="Century Gothic"/>
                <w:spacing w:val="-3"/>
                <w:sz w:val="20"/>
              </w:rPr>
            </w:pPr>
            <w:r>
              <w:rPr>
                <w:rFonts w:ascii="Century Gothic" w:hAnsi="Century Gothic"/>
                <w:spacing w:val="-3"/>
                <w:sz w:val="20"/>
              </w:rPr>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14:paraId="0BF2566C" w14:textId="77777777"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14:paraId="6AEA18C4" w14:textId="77777777"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lastRenderedPageBreak/>
              <w:t>Ability to meet deadlines</w:t>
            </w:r>
          </w:p>
          <w:p w14:paraId="31C50580" w14:textId="77777777" w:rsidR="00DB18CF" w:rsidRPr="00B11F0B" w:rsidRDefault="00DB18CF" w:rsidP="00DB18CF">
            <w:pPr>
              <w:rPr>
                <w:rFonts w:ascii="Century Gothic" w:hAnsi="Century Gothic"/>
                <w:spacing w:val="-3"/>
                <w:sz w:val="20"/>
              </w:rPr>
            </w:pPr>
          </w:p>
          <w:p w14:paraId="6E70C15C" w14:textId="77777777"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14:paraId="76B6D9A9" w14:textId="77777777"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14:paraId="5FC91052" w14:textId="77777777"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14:paraId="3F83F13B" w14:textId="77777777" w:rsidR="00DB18CF" w:rsidRPr="00B11F0B" w:rsidRDefault="00DB18CF" w:rsidP="00DB18CF">
            <w:pPr>
              <w:rPr>
                <w:rFonts w:ascii="Century Gothic" w:hAnsi="Century Gothic"/>
                <w:spacing w:val="-3"/>
                <w:sz w:val="20"/>
              </w:rPr>
            </w:pPr>
          </w:p>
          <w:p w14:paraId="43CA3D4C" w14:textId="77777777"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14:paraId="409E76C8" w14:textId="77777777"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14:paraId="1A3FBF42" w14:textId="77777777" w:rsidR="001D6CF1" w:rsidRPr="001D6CF1" w:rsidRDefault="001D6CF1" w:rsidP="00F276BE">
            <w:pPr>
              <w:rPr>
                <w:rFonts w:ascii="Century Gothic" w:hAnsi="Century Gothic"/>
                <w:spacing w:val="-3"/>
                <w:sz w:val="20"/>
              </w:rPr>
            </w:pPr>
          </w:p>
        </w:tc>
      </w:tr>
    </w:tbl>
    <w:p w14:paraId="7D14600C" w14:textId="77777777"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532D" w14:textId="77777777" w:rsidR="00111B63" w:rsidRDefault="00111B63">
      <w:r>
        <w:separator/>
      </w:r>
    </w:p>
  </w:endnote>
  <w:endnote w:type="continuationSeparator" w:id="0">
    <w:p w14:paraId="47D5AD8E" w14:textId="77777777" w:rsidR="00111B63" w:rsidRDefault="0011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98FD"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9F705D">
      <w:rPr>
        <w:rStyle w:val="PageNumber"/>
        <w:rFonts w:ascii="Century Gothic" w:hAnsi="Century Gothic"/>
        <w:noProof/>
        <w:sz w:val="20"/>
      </w:rPr>
      <w:t>3</w:t>
    </w:r>
    <w:r w:rsidR="00697541" w:rsidRPr="005D1BEF">
      <w:rPr>
        <w:rStyle w:val="PageNumber"/>
        <w:rFonts w:ascii="Century Gothic" w:hAnsi="Century Gothic"/>
        <w:sz w:val="20"/>
      </w:rPr>
      <w:fldChar w:fldCharType="end"/>
    </w:r>
  </w:p>
  <w:p w14:paraId="2220DDEE"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0AE52" w14:textId="77777777" w:rsidR="00111B63" w:rsidRDefault="00111B63">
      <w:r>
        <w:separator/>
      </w:r>
    </w:p>
  </w:footnote>
  <w:footnote w:type="continuationSeparator" w:id="0">
    <w:p w14:paraId="0B74D31E" w14:textId="77777777" w:rsidR="00111B63" w:rsidRDefault="0011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4BEA"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1F1679AD"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496C15B1" w14:textId="77777777" w:rsidR="00725C6A" w:rsidRPr="00DF17E1" w:rsidRDefault="00725C6A" w:rsidP="00725C6A">
          <w:pPr>
            <w:rPr>
              <w:rFonts w:ascii="Century Gothic" w:hAnsi="Century Gothic"/>
              <w:noProof/>
              <w:sz w:val="8"/>
            </w:rPr>
          </w:pPr>
        </w:p>
        <w:p w14:paraId="5288FE4B"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758627EB" wp14:editId="36B6675F">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6C9058A9" w14:textId="77777777" w:rsidR="00725C6A" w:rsidRPr="0070689A" w:rsidRDefault="00725C6A" w:rsidP="00725C6A">
          <w:pPr>
            <w:spacing w:after="120"/>
            <w:rPr>
              <w:rFonts w:ascii="Century Gothic" w:hAnsi="Century Gothic"/>
              <w:color w:val="FF0000"/>
              <w:sz w:val="2"/>
              <w:szCs w:val="40"/>
            </w:rPr>
          </w:pPr>
        </w:p>
        <w:p w14:paraId="78A64E4B"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3C46A103"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6487"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F7C3A"/>
    <w:multiLevelType w:val="hybridMultilevel"/>
    <w:tmpl w:val="33DC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A7B2D"/>
    <w:multiLevelType w:val="hybridMultilevel"/>
    <w:tmpl w:val="A044D9CE"/>
    <w:lvl w:ilvl="0" w:tplc="3156029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5152F9"/>
    <w:multiLevelType w:val="hybridMultilevel"/>
    <w:tmpl w:val="9F60C5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6"/>
  </w:num>
  <w:num w:numId="4">
    <w:abstractNumId w:val="9"/>
  </w:num>
  <w:num w:numId="5">
    <w:abstractNumId w:val="13"/>
  </w:num>
  <w:num w:numId="6">
    <w:abstractNumId w:val="7"/>
  </w:num>
  <w:num w:numId="7">
    <w:abstractNumId w:val="10"/>
  </w:num>
  <w:num w:numId="8">
    <w:abstractNumId w:val="18"/>
  </w:num>
  <w:num w:numId="9">
    <w:abstractNumId w:val="11"/>
  </w:num>
  <w:num w:numId="10">
    <w:abstractNumId w:val="3"/>
  </w:num>
  <w:num w:numId="11">
    <w:abstractNumId w:val="15"/>
  </w:num>
  <w:num w:numId="12">
    <w:abstractNumId w:val="1"/>
  </w:num>
  <w:num w:numId="13">
    <w:abstractNumId w:val="5"/>
  </w:num>
  <w:num w:numId="14">
    <w:abstractNumId w:val="0"/>
  </w:num>
  <w:num w:numId="15">
    <w:abstractNumId w:val="12"/>
  </w:num>
  <w:num w:numId="16">
    <w:abstractNumId w:val="17"/>
  </w:num>
  <w:num w:numId="17">
    <w:abstractNumId w:val="8"/>
  </w:num>
  <w:num w:numId="18">
    <w:abstractNumId w:val="14"/>
    <w:lvlOverride w:ilvl="0"/>
    <w:lvlOverride w:ilvl="1"/>
    <w:lvlOverride w:ilvl="2"/>
    <w:lvlOverride w:ilvl="3"/>
    <w:lvlOverride w:ilvl="4"/>
    <w:lvlOverride w:ilvl="5"/>
    <w:lvlOverride w:ilvl="6"/>
    <w:lvlOverride w:ilvl="7"/>
    <w:lvlOverride w:ilvl="8"/>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20A57"/>
    <w:rsid w:val="00031BBC"/>
    <w:rsid w:val="00035053"/>
    <w:rsid w:val="00054508"/>
    <w:rsid w:val="0005599B"/>
    <w:rsid w:val="00071C7C"/>
    <w:rsid w:val="00080E77"/>
    <w:rsid w:val="000A26F7"/>
    <w:rsid w:val="000A49FB"/>
    <w:rsid w:val="000B2A96"/>
    <w:rsid w:val="000B7433"/>
    <w:rsid w:val="000E205D"/>
    <w:rsid w:val="000F1F39"/>
    <w:rsid w:val="001055B5"/>
    <w:rsid w:val="00111B63"/>
    <w:rsid w:val="001164D1"/>
    <w:rsid w:val="00121F9B"/>
    <w:rsid w:val="0013323A"/>
    <w:rsid w:val="001574A6"/>
    <w:rsid w:val="0018326D"/>
    <w:rsid w:val="001B0637"/>
    <w:rsid w:val="001C356D"/>
    <w:rsid w:val="001D3F8C"/>
    <w:rsid w:val="001D5CF0"/>
    <w:rsid w:val="001D6CF1"/>
    <w:rsid w:val="001D7562"/>
    <w:rsid w:val="001E1324"/>
    <w:rsid w:val="001F7F7B"/>
    <w:rsid w:val="00221F8F"/>
    <w:rsid w:val="00225B67"/>
    <w:rsid w:val="002353A0"/>
    <w:rsid w:val="002508F7"/>
    <w:rsid w:val="0025180D"/>
    <w:rsid w:val="00262A98"/>
    <w:rsid w:val="00272144"/>
    <w:rsid w:val="00287816"/>
    <w:rsid w:val="0029391B"/>
    <w:rsid w:val="002A1928"/>
    <w:rsid w:val="002A531E"/>
    <w:rsid w:val="002B1624"/>
    <w:rsid w:val="002C53BC"/>
    <w:rsid w:val="002E2667"/>
    <w:rsid w:val="002E3BC8"/>
    <w:rsid w:val="002E5039"/>
    <w:rsid w:val="002F4765"/>
    <w:rsid w:val="003310CE"/>
    <w:rsid w:val="003464B7"/>
    <w:rsid w:val="00353B7F"/>
    <w:rsid w:val="00372286"/>
    <w:rsid w:val="003767B0"/>
    <w:rsid w:val="0038397E"/>
    <w:rsid w:val="0039019A"/>
    <w:rsid w:val="003B725D"/>
    <w:rsid w:val="003C2F5B"/>
    <w:rsid w:val="003C5924"/>
    <w:rsid w:val="003E545D"/>
    <w:rsid w:val="00407CF8"/>
    <w:rsid w:val="00411C7D"/>
    <w:rsid w:val="00436E7B"/>
    <w:rsid w:val="004413FE"/>
    <w:rsid w:val="00443E43"/>
    <w:rsid w:val="00445787"/>
    <w:rsid w:val="00460A6E"/>
    <w:rsid w:val="004706DE"/>
    <w:rsid w:val="00472E6F"/>
    <w:rsid w:val="00477E24"/>
    <w:rsid w:val="004A3F84"/>
    <w:rsid w:val="004A563E"/>
    <w:rsid w:val="004B0079"/>
    <w:rsid w:val="004B4637"/>
    <w:rsid w:val="004C5C57"/>
    <w:rsid w:val="004E0914"/>
    <w:rsid w:val="004E608F"/>
    <w:rsid w:val="004E758F"/>
    <w:rsid w:val="004F342A"/>
    <w:rsid w:val="00511934"/>
    <w:rsid w:val="00537E23"/>
    <w:rsid w:val="0054152C"/>
    <w:rsid w:val="005576EE"/>
    <w:rsid w:val="00567CB4"/>
    <w:rsid w:val="005709EC"/>
    <w:rsid w:val="0059065A"/>
    <w:rsid w:val="005A126D"/>
    <w:rsid w:val="005A3AD4"/>
    <w:rsid w:val="005B15E8"/>
    <w:rsid w:val="005B279C"/>
    <w:rsid w:val="005B6315"/>
    <w:rsid w:val="005C0270"/>
    <w:rsid w:val="005D1627"/>
    <w:rsid w:val="005D1BEF"/>
    <w:rsid w:val="005D68C3"/>
    <w:rsid w:val="00603BE3"/>
    <w:rsid w:val="006201A9"/>
    <w:rsid w:val="00626DF4"/>
    <w:rsid w:val="006670F1"/>
    <w:rsid w:val="00682D3B"/>
    <w:rsid w:val="00693FC8"/>
    <w:rsid w:val="00697541"/>
    <w:rsid w:val="006A4993"/>
    <w:rsid w:val="006C2B28"/>
    <w:rsid w:val="006C48FF"/>
    <w:rsid w:val="006E310B"/>
    <w:rsid w:val="0070689A"/>
    <w:rsid w:val="00722A29"/>
    <w:rsid w:val="00725C6A"/>
    <w:rsid w:val="00727FBE"/>
    <w:rsid w:val="00731E8E"/>
    <w:rsid w:val="007475D3"/>
    <w:rsid w:val="00783E8F"/>
    <w:rsid w:val="007852D5"/>
    <w:rsid w:val="007865B4"/>
    <w:rsid w:val="007906C4"/>
    <w:rsid w:val="007A0726"/>
    <w:rsid w:val="007A1FFF"/>
    <w:rsid w:val="007C150E"/>
    <w:rsid w:val="007C2AD1"/>
    <w:rsid w:val="007C3C8F"/>
    <w:rsid w:val="007D5A08"/>
    <w:rsid w:val="00852C45"/>
    <w:rsid w:val="008614B0"/>
    <w:rsid w:val="00862C01"/>
    <w:rsid w:val="0087681D"/>
    <w:rsid w:val="00880D33"/>
    <w:rsid w:val="00894469"/>
    <w:rsid w:val="008A14F7"/>
    <w:rsid w:val="008A3D78"/>
    <w:rsid w:val="008D399B"/>
    <w:rsid w:val="008E0803"/>
    <w:rsid w:val="008E081D"/>
    <w:rsid w:val="008E285C"/>
    <w:rsid w:val="008F134A"/>
    <w:rsid w:val="008F283B"/>
    <w:rsid w:val="009063FB"/>
    <w:rsid w:val="00936FF2"/>
    <w:rsid w:val="0094166B"/>
    <w:rsid w:val="00946381"/>
    <w:rsid w:val="00951C55"/>
    <w:rsid w:val="00967F0C"/>
    <w:rsid w:val="00970EA4"/>
    <w:rsid w:val="00976C43"/>
    <w:rsid w:val="0097782C"/>
    <w:rsid w:val="0098174C"/>
    <w:rsid w:val="00987900"/>
    <w:rsid w:val="00994790"/>
    <w:rsid w:val="009A70D8"/>
    <w:rsid w:val="009A7320"/>
    <w:rsid w:val="009B0605"/>
    <w:rsid w:val="009B2D8F"/>
    <w:rsid w:val="009B52D3"/>
    <w:rsid w:val="009C098E"/>
    <w:rsid w:val="009D0826"/>
    <w:rsid w:val="009D4444"/>
    <w:rsid w:val="009D5275"/>
    <w:rsid w:val="009F5136"/>
    <w:rsid w:val="009F705D"/>
    <w:rsid w:val="00A00662"/>
    <w:rsid w:val="00A00BA8"/>
    <w:rsid w:val="00A02FBD"/>
    <w:rsid w:val="00A050C7"/>
    <w:rsid w:val="00A134A6"/>
    <w:rsid w:val="00A174F9"/>
    <w:rsid w:val="00A26039"/>
    <w:rsid w:val="00A310D1"/>
    <w:rsid w:val="00A42F7B"/>
    <w:rsid w:val="00A47046"/>
    <w:rsid w:val="00AA03B8"/>
    <w:rsid w:val="00AA1918"/>
    <w:rsid w:val="00AA7128"/>
    <w:rsid w:val="00AA7B05"/>
    <w:rsid w:val="00AB0F0F"/>
    <w:rsid w:val="00AC14C7"/>
    <w:rsid w:val="00AE5EAD"/>
    <w:rsid w:val="00AE6B48"/>
    <w:rsid w:val="00AF28CE"/>
    <w:rsid w:val="00B00C11"/>
    <w:rsid w:val="00B02DFA"/>
    <w:rsid w:val="00B11F0B"/>
    <w:rsid w:val="00B134E6"/>
    <w:rsid w:val="00B14F42"/>
    <w:rsid w:val="00B166F1"/>
    <w:rsid w:val="00B23E02"/>
    <w:rsid w:val="00B26F1B"/>
    <w:rsid w:val="00B345FF"/>
    <w:rsid w:val="00B4250A"/>
    <w:rsid w:val="00B62292"/>
    <w:rsid w:val="00B653A2"/>
    <w:rsid w:val="00B73085"/>
    <w:rsid w:val="00B83FCB"/>
    <w:rsid w:val="00B850C7"/>
    <w:rsid w:val="00B852AA"/>
    <w:rsid w:val="00B91292"/>
    <w:rsid w:val="00BC0526"/>
    <w:rsid w:val="00BD263E"/>
    <w:rsid w:val="00BE219E"/>
    <w:rsid w:val="00BF6B42"/>
    <w:rsid w:val="00C06364"/>
    <w:rsid w:val="00C238D0"/>
    <w:rsid w:val="00C23C54"/>
    <w:rsid w:val="00C263B4"/>
    <w:rsid w:val="00C265B0"/>
    <w:rsid w:val="00C30CBB"/>
    <w:rsid w:val="00C625E3"/>
    <w:rsid w:val="00C65C28"/>
    <w:rsid w:val="00C67FAA"/>
    <w:rsid w:val="00C71155"/>
    <w:rsid w:val="00C723E4"/>
    <w:rsid w:val="00C83564"/>
    <w:rsid w:val="00C95D06"/>
    <w:rsid w:val="00CB6A89"/>
    <w:rsid w:val="00CD106D"/>
    <w:rsid w:val="00CD579B"/>
    <w:rsid w:val="00CE0373"/>
    <w:rsid w:val="00CE360C"/>
    <w:rsid w:val="00CE7354"/>
    <w:rsid w:val="00CF4DD0"/>
    <w:rsid w:val="00D23515"/>
    <w:rsid w:val="00D24315"/>
    <w:rsid w:val="00D46DBD"/>
    <w:rsid w:val="00D53DD6"/>
    <w:rsid w:val="00D82DE1"/>
    <w:rsid w:val="00D96C13"/>
    <w:rsid w:val="00DB18CF"/>
    <w:rsid w:val="00DB4EDE"/>
    <w:rsid w:val="00DC1451"/>
    <w:rsid w:val="00DC3358"/>
    <w:rsid w:val="00DC4CE5"/>
    <w:rsid w:val="00DC70C4"/>
    <w:rsid w:val="00DE2B99"/>
    <w:rsid w:val="00DE5196"/>
    <w:rsid w:val="00E06D30"/>
    <w:rsid w:val="00E228DD"/>
    <w:rsid w:val="00E265F5"/>
    <w:rsid w:val="00E50C8F"/>
    <w:rsid w:val="00E55D8C"/>
    <w:rsid w:val="00E6724B"/>
    <w:rsid w:val="00E82680"/>
    <w:rsid w:val="00EA5E21"/>
    <w:rsid w:val="00EC2C0B"/>
    <w:rsid w:val="00EC5BA0"/>
    <w:rsid w:val="00ED4A95"/>
    <w:rsid w:val="00EE3758"/>
    <w:rsid w:val="00EF3473"/>
    <w:rsid w:val="00F05418"/>
    <w:rsid w:val="00F139BA"/>
    <w:rsid w:val="00F14174"/>
    <w:rsid w:val="00F276BE"/>
    <w:rsid w:val="00F351E9"/>
    <w:rsid w:val="00F46905"/>
    <w:rsid w:val="00F47A3B"/>
    <w:rsid w:val="00F7018B"/>
    <w:rsid w:val="00F76CC2"/>
    <w:rsid w:val="00F826F2"/>
    <w:rsid w:val="00F83815"/>
    <w:rsid w:val="00FA3772"/>
    <w:rsid w:val="00FB1497"/>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37E3F"/>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302195456">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053426185">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282496757">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 w:id="19877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DB034-EA4B-4F8E-B8AE-6BAC87AF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Samantha O'Hearn</cp:lastModifiedBy>
  <cp:revision>5</cp:revision>
  <cp:lastPrinted>2007-02-20T05:17:00Z</cp:lastPrinted>
  <dcterms:created xsi:type="dcterms:W3CDTF">2019-07-01T00:13:00Z</dcterms:created>
  <dcterms:modified xsi:type="dcterms:W3CDTF">2019-07-01T00:17:00Z</dcterms:modified>
</cp:coreProperties>
</file>